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BDA" w:rsidRPr="00F372DA" w:rsidRDefault="00765BDA" w:rsidP="00765BDA">
      <w:pPr>
        <w:pStyle w:val="a4"/>
        <w:shd w:val="clear" w:color="auto" w:fill="auto"/>
        <w:spacing w:before="0" w:line="240" w:lineRule="auto"/>
        <w:ind w:left="5220" w:right="23"/>
        <w:jc w:val="right"/>
        <w:rPr>
          <w:rFonts w:ascii="Times New Roman" w:hAnsi="Times New Roman" w:cs="Times New Roman"/>
          <w:sz w:val="24"/>
          <w:szCs w:val="24"/>
          <w:lang w:val="en-US"/>
        </w:rPr>
      </w:pPr>
      <w:r w:rsidRPr="00F372DA">
        <w:rPr>
          <w:rFonts w:ascii="Times New Roman" w:hAnsi="Times New Roman" w:cs="Times New Roman"/>
          <w:sz w:val="24"/>
          <w:szCs w:val="24"/>
          <w:lang w:val="ro-RO"/>
        </w:rPr>
        <w:t>Anexa</w:t>
      </w:r>
      <w:r w:rsidRPr="00F372DA">
        <w:rPr>
          <w:rFonts w:ascii="Times New Roman" w:hAnsi="Times New Roman" w:cs="Times New Roman"/>
          <w:sz w:val="24"/>
          <w:szCs w:val="24"/>
          <w:lang w:val="en-US"/>
        </w:rPr>
        <w:t xml:space="preserve"> 2</w:t>
      </w:r>
    </w:p>
    <w:p w:rsidR="00765BDA" w:rsidRPr="00F372DA" w:rsidRDefault="00765BDA" w:rsidP="00765BDA">
      <w:pPr>
        <w:tabs>
          <w:tab w:val="left" w:pos="3840"/>
        </w:tabs>
        <w:jc w:val="right"/>
        <w:rPr>
          <w:spacing w:val="-4"/>
          <w:lang w:val="ro-RO"/>
        </w:rPr>
      </w:pPr>
      <w:r w:rsidRPr="00F372DA">
        <w:rPr>
          <w:spacing w:val="-4"/>
          <w:lang w:val="ro-RO"/>
        </w:rPr>
        <w:t>la</w:t>
      </w:r>
      <w:r w:rsidRPr="00F372DA">
        <w:rPr>
          <w:spacing w:val="-4"/>
          <w:lang w:val="en-US"/>
        </w:rPr>
        <w:t xml:space="preserve"> </w:t>
      </w:r>
      <w:r w:rsidRPr="00F372DA">
        <w:rPr>
          <w:spacing w:val="-4"/>
          <w:lang w:val="ro-RO"/>
        </w:rPr>
        <w:t>Protocolul</w:t>
      </w:r>
      <w:r w:rsidRPr="00F372DA">
        <w:rPr>
          <w:spacing w:val="-4"/>
          <w:lang w:val="en-US"/>
        </w:rPr>
        <w:t xml:space="preserve"> </w:t>
      </w:r>
      <w:r w:rsidRPr="00F372DA">
        <w:rPr>
          <w:spacing w:val="-4"/>
          <w:lang w:val="ro-RO"/>
        </w:rPr>
        <w:t xml:space="preserve">despre aplicarea </w:t>
      </w:r>
    </w:p>
    <w:p w:rsidR="00765BDA" w:rsidRPr="00F372DA" w:rsidRDefault="00765BDA" w:rsidP="00765BDA">
      <w:pPr>
        <w:tabs>
          <w:tab w:val="left" w:pos="3840"/>
        </w:tabs>
        <w:jc w:val="right"/>
        <w:rPr>
          <w:spacing w:val="-4"/>
          <w:lang w:val="ro-RO"/>
        </w:rPr>
      </w:pPr>
      <w:r w:rsidRPr="00F372DA">
        <w:rPr>
          <w:spacing w:val="-4"/>
          <w:lang w:val="ro-RO"/>
        </w:rPr>
        <w:t xml:space="preserve">Acordului privind zona de comerţ </w:t>
      </w:r>
    </w:p>
    <w:p w:rsidR="00765BDA" w:rsidRPr="00F372DA" w:rsidRDefault="00765BDA" w:rsidP="00765BDA">
      <w:pPr>
        <w:tabs>
          <w:tab w:val="left" w:pos="3840"/>
        </w:tabs>
        <w:jc w:val="right"/>
        <w:rPr>
          <w:spacing w:val="-4"/>
          <w:lang w:val="ro-RO"/>
        </w:rPr>
      </w:pPr>
      <w:r w:rsidRPr="00F372DA">
        <w:rPr>
          <w:spacing w:val="-4"/>
          <w:lang w:val="ro-RO"/>
        </w:rPr>
        <w:t xml:space="preserve">Liber din 18 octombrie 2011 între </w:t>
      </w:r>
    </w:p>
    <w:p w:rsidR="00765BDA" w:rsidRPr="00F372DA" w:rsidRDefault="00765BDA" w:rsidP="00765BDA">
      <w:pPr>
        <w:tabs>
          <w:tab w:val="left" w:pos="3840"/>
        </w:tabs>
        <w:jc w:val="right"/>
        <w:rPr>
          <w:b/>
          <w:lang w:val="ro-RO"/>
        </w:rPr>
      </w:pPr>
      <w:r w:rsidRPr="00F372DA">
        <w:rPr>
          <w:spacing w:val="-4"/>
          <w:lang w:val="ro-RO"/>
        </w:rPr>
        <w:t>Părţile acestuia şi Republi</w:t>
      </w:r>
      <w:bookmarkStart w:id="0" w:name="_GoBack"/>
      <w:bookmarkEnd w:id="0"/>
      <w:r w:rsidRPr="00F372DA">
        <w:rPr>
          <w:spacing w:val="-4"/>
          <w:lang w:val="ro-RO"/>
        </w:rPr>
        <w:t>ca Uzbekistan</w:t>
      </w:r>
      <w:r w:rsidRPr="00F372DA">
        <w:rPr>
          <w:b/>
          <w:lang w:val="en-US"/>
        </w:rPr>
        <w:t xml:space="preserve"> </w:t>
      </w:r>
    </w:p>
    <w:p w:rsidR="00765BDA" w:rsidRPr="00F372DA" w:rsidRDefault="00765BDA" w:rsidP="00765BDA">
      <w:pPr>
        <w:tabs>
          <w:tab w:val="left" w:pos="3840"/>
        </w:tabs>
        <w:jc w:val="right"/>
        <w:rPr>
          <w:b/>
          <w:lang w:val="ro-RO"/>
        </w:rPr>
      </w:pPr>
    </w:p>
    <w:p w:rsidR="00765BDA" w:rsidRPr="00F372DA" w:rsidRDefault="00765BDA" w:rsidP="00765BDA">
      <w:pPr>
        <w:tabs>
          <w:tab w:val="left" w:pos="3840"/>
        </w:tabs>
        <w:jc w:val="center"/>
        <w:rPr>
          <w:b/>
          <w:lang w:val="ro-RO"/>
        </w:rPr>
      </w:pPr>
      <w:r w:rsidRPr="00F372DA">
        <w:rPr>
          <w:b/>
          <w:lang w:val="ro-RO"/>
        </w:rPr>
        <w:t xml:space="preserve">Interdicții și restricții cantitative (cote), care urmează să fie anulate în conformitate cu articolul 3 din Acord </w:t>
      </w:r>
    </w:p>
    <w:p w:rsidR="00765BDA" w:rsidRPr="00F372DA" w:rsidRDefault="00765BDA" w:rsidP="00765BDA">
      <w:pPr>
        <w:tabs>
          <w:tab w:val="left" w:pos="3840"/>
        </w:tabs>
        <w:jc w:val="center"/>
        <w:rPr>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7"/>
        <w:gridCol w:w="4007"/>
        <w:gridCol w:w="2884"/>
      </w:tblGrid>
      <w:tr w:rsidR="00765BDA" w:rsidRPr="00F372DA" w:rsidTr="00FB10F6">
        <w:tc>
          <w:tcPr>
            <w:tcW w:w="9854" w:type="dxa"/>
            <w:gridSpan w:val="3"/>
          </w:tcPr>
          <w:p w:rsidR="00765BDA" w:rsidRPr="00F372DA" w:rsidRDefault="00765BDA" w:rsidP="00FB10F6">
            <w:pPr>
              <w:tabs>
                <w:tab w:val="left" w:pos="3840"/>
              </w:tabs>
              <w:jc w:val="center"/>
              <w:rPr>
                <w:b/>
                <w:lang w:val="ro-RO"/>
              </w:rPr>
            </w:pPr>
          </w:p>
          <w:p w:rsidR="00765BDA" w:rsidRPr="00F372DA" w:rsidRDefault="00765BDA" w:rsidP="00FB10F6">
            <w:pPr>
              <w:tabs>
                <w:tab w:val="left" w:pos="3840"/>
              </w:tabs>
              <w:jc w:val="center"/>
              <w:rPr>
                <w:b/>
                <w:lang w:val="ro-RO"/>
              </w:rPr>
            </w:pPr>
            <w:r w:rsidRPr="00F372DA">
              <w:rPr>
                <w:b/>
                <w:lang w:val="ro-RO"/>
              </w:rPr>
              <w:t>Republica Kârgâzstan</w:t>
            </w:r>
          </w:p>
          <w:p w:rsidR="00765BDA" w:rsidRPr="00F372DA" w:rsidRDefault="00765BDA" w:rsidP="00FB10F6">
            <w:pPr>
              <w:tabs>
                <w:tab w:val="left" w:pos="3840"/>
              </w:tabs>
              <w:jc w:val="center"/>
              <w:rPr>
                <w:lang w:val="ro-RO"/>
              </w:rPr>
            </w:pPr>
            <w:r w:rsidRPr="00F372DA">
              <w:rPr>
                <w:lang w:val="ro-RO"/>
              </w:rPr>
              <w:t>Cotele şi interdicţiile la import/export</w:t>
            </w:r>
          </w:p>
          <w:p w:rsidR="00765BDA" w:rsidRPr="00F372DA" w:rsidRDefault="00765BDA" w:rsidP="00FB10F6">
            <w:pPr>
              <w:tabs>
                <w:tab w:val="left" w:pos="3840"/>
              </w:tabs>
              <w:jc w:val="center"/>
              <w:rPr>
                <w:lang w:val="ro-RO"/>
              </w:rPr>
            </w:pPr>
          </w:p>
        </w:tc>
      </w:tr>
      <w:tr w:rsidR="00765BDA" w:rsidRPr="00F372DA" w:rsidTr="00FB10F6">
        <w:tc>
          <w:tcPr>
            <w:tcW w:w="2802" w:type="dxa"/>
          </w:tcPr>
          <w:p w:rsidR="00765BDA" w:rsidRPr="00F372DA" w:rsidRDefault="00765BDA" w:rsidP="00FB10F6">
            <w:pPr>
              <w:tabs>
                <w:tab w:val="left" w:pos="3840"/>
              </w:tabs>
              <w:rPr>
                <w:lang w:val="ro-RO"/>
              </w:rPr>
            </w:pPr>
            <w:r w:rsidRPr="00F372DA">
              <w:rPr>
                <w:lang w:val="ro-RO"/>
              </w:rPr>
              <w:t>Băuturi alcoolice: vodca, vodca specială, lichioruri, băuturi spirtoase distilate, materiale vinicole, vinuri, vinuri spumante, șampanie, băuturi din vin, coniac, brandy, Calvados, bere, băuturi alcoolice tari, precum și alte băuturi slab alcoolice (poziţiile tarifare 2203-2208)</w:t>
            </w:r>
          </w:p>
        </w:tc>
        <w:tc>
          <w:tcPr>
            <w:tcW w:w="4110" w:type="dxa"/>
          </w:tcPr>
          <w:p w:rsidR="00765BDA" w:rsidRPr="00F372DA" w:rsidRDefault="00765BDA" w:rsidP="00FB10F6">
            <w:pPr>
              <w:tabs>
                <w:tab w:val="left" w:pos="3840"/>
              </w:tabs>
              <w:rPr>
                <w:lang w:val="ro-RO"/>
              </w:rPr>
            </w:pPr>
            <w:r w:rsidRPr="00F372DA">
              <w:rPr>
                <w:lang w:val="ro-RO"/>
              </w:rPr>
              <w:t>Contingente la importurile de băuturi alcoolice, inclusiv bere, cu excepția alcoolului etilic de import și băuturilor din vin, destinate producției de coniac și șampanie. </w:t>
            </w:r>
          </w:p>
          <w:p w:rsidR="00765BDA" w:rsidRPr="00F372DA" w:rsidRDefault="00765BDA" w:rsidP="00FB10F6">
            <w:pPr>
              <w:tabs>
                <w:tab w:val="left" w:pos="3840"/>
              </w:tabs>
              <w:rPr>
                <w:lang w:val="ro-RO"/>
              </w:rPr>
            </w:pPr>
          </w:p>
          <w:p w:rsidR="00765BDA" w:rsidRPr="00F372DA" w:rsidRDefault="00765BDA" w:rsidP="00FB10F6">
            <w:pPr>
              <w:tabs>
                <w:tab w:val="left" w:pos="3840"/>
              </w:tabs>
              <w:rPr>
                <w:lang w:val="ro-RO"/>
              </w:rPr>
            </w:pPr>
            <w:r w:rsidRPr="00F372DA">
              <w:rPr>
                <w:lang w:val="ro-RO"/>
              </w:rPr>
              <w:t>Legea Republicii Kârgâzstan № 98 din 09 iulie 2007 "Cu privire la reglementarea de stat a producției și a rulajului de alcool etilic, a producţiei alcoolice." </w:t>
            </w:r>
          </w:p>
          <w:p w:rsidR="00765BDA" w:rsidRPr="00F372DA" w:rsidRDefault="00765BDA" w:rsidP="00FB10F6">
            <w:pPr>
              <w:tabs>
                <w:tab w:val="left" w:pos="3840"/>
              </w:tabs>
              <w:rPr>
                <w:lang w:val="ro-RO"/>
              </w:rPr>
            </w:pPr>
          </w:p>
          <w:p w:rsidR="00765BDA" w:rsidRPr="00F372DA" w:rsidRDefault="00765BDA" w:rsidP="00FB10F6">
            <w:pPr>
              <w:tabs>
                <w:tab w:val="left" w:pos="3840"/>
              </w:tabs>
              <w:rPr>
                <w:lang w:val="ro-RO"/>
              </w:rPr>
            </w:pPr>
            <w:r w:rsidRPr="00F372DA">
              <w:rPr>
                <w:lang w:val="ro-RO"/>
              </w:rPr>
              <w:t>Se aplică la importul de produse alcoolice din țări care nu sunt membre ale OMC.</w:t>
            </w:r>
          </w:p>
        </w:tc>
        <w:tc>
          <w:tcPr>
            <w:tcW w:w="2942" w:type="dxa"/>
          </w:tcPr>
          <w:p w:rsidR="00765BDA" w:rsidRPr="00F372DA" w:rsidRDefault="00765BDA" w:rsidP="00FB10F6">
            <w:pPr>
              <w:tabs>
                <w:tab w:val="left" w:pos="3840"/>
              </w:tabs>
              <w:rPr>
                <w:lang w:val="ro-RO"/>
              </w:rPr>
            </w:pPr>
            <w:r w:rsidRPr="00F372DA">
              <w:rPr>
                <w:lang w:val="ro-RO"/>
              </w:rPr>
              <w:t>Volumul de contingente și procedura de contingentare este stabilită prin Hotărârea Guvernului Republicii Kârgâzstan № 227 din 05 aprilie 2004 "Cu privire la aprobarea Procedurii de contingentare la importul pe teritoriul Republicii Kârgâzstan a produselor alcoolice şi determinarea cotei la import".</w:t>
            </w:r>
          </w:p>
          <w:p w:rsidR="00765BDA" w:rsidRPr="00F372DA" w:rsidRDefault="00765BDA" w:rsidP="00FB10F6">
            <w:pPr>
              <w:tabs>
                <w:tab w:val="left" w:pos="3840"/>
              </w:tabs>
              <w:rPr>
                <w:b/>
                <w:lang w:val="en-US"/>
              </w:rPr>
            </w:pPr>
            <w:r w:rsidRPr="00F372DA">
              <w:rPr>
                <w:lang w:val="ro-RO"/>
              </w:rPr>
              <w:t>Data de anulare - 1 ianuarie 2015</w:t>
            </w:r>
          </w:p>
        </w:tc>
      </w:tr>
    </w:tbl>
    <w:p w:rsidR="00765BDA" w:rsidRPr="00F372DA" w:rsidRDefault="00765BDA" w:rsidP="00765BDA">
      <w:pPr>
        <w:tabs>
          <w:tab w:val="left" w:pos="3840"/>
        </w:tabs>
        <w:jc w:val="center"/>
        <w:rPr>
          <w:b/>
          <w:lang w:val="ro-RO"/>
        </w:rPr>
      </w:pPr>
    </w:p>
    <w:p w:rsidR="00765BDA" w:rsidRPr="00F372DA" w:rsidRDefault="00765BDA" w:rsidP="00765BDA">
      <w:pPr>
        <w:tabs>
          <w:tab w:val="left" w:pos="3840"/>
        </w:tabs>
        <w:jc w:val="center"/>
        <w:rPr>
          <w:b/>
          <w:lang w:val="ro-RO"/>
        </w:rPr>
      </w:pPr>
      <w:r w:rsidRPr="00F372DA">
        <w:rPr>
          <w:b/>
          <w:lang w:val="ro-RO"/>
        </w:rPr>
        <w:t>Republica Uzbekistan</w:t>
      </w:r>
    </w:p>
    <w:p w:rsidR="00765BDA" w:rsidRPr="00F372DA" w:rsidRDefault="00765BDA" w:rsidP="00765BDA">
      <w:pPr>
        <w:tabs>
          <w:tab w:val="left" w:pos="3840"/>
        </w:tabs>
        <w:jc w:val="center"/>
        <w:rPr>
          <w:spacing w:val="-4"/>
          <w:lang w:val="ro-RO"/>
        </w:rPr>
      </w:pPr>
    </w:p>
    <w:tbl>
      <w:tblPr>
        <w:tblW w:w="9712"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20"/>
        <w:gridCol w:w="3952"/>
        <w:gridCol w:w="2880"/>
        <w:gridCol w:w="2160"/>
      </w:tblGrid>
      <w:tr w:rsidR="00765BDA" w:rsidRPr="00F372DA" w:rsidTr="00FB10F6">
        <w:trPr>
          <w:tblHeader/>
        </w:trPr>
        <w:tc>
          <w:tcPr>
            <w:tcW w:w="720" w:type="dxa"/>
            <w:tcBorders>
              <w:bottom w:val="double" w:sz="2" w:space="0" w:color="auto"/>
            </w:tcBorders>
            <w:vAlign w:val="center"/>
          </w:tcPr>
          <w:p w:rsidR="00765BDA" w:rsidRPr="00F372DA" w:rsidRDefault="00765BDA" w:rsidP="00FB10F6">
            <w:pPr>
              <w:spacing w:before="60" w:after="60" w:line="200" w:lineRule="exact"/>
              <w:ind w:right="-57"/>
              <w:jc w:val="center"/>
              <w:rPr>
                <w:lang w:val="ro-RO"/>
              </w:rPr>
            </w:pPr>
          </w:p>
        </w:tc>
        <w:tc>
          <w:tcPr>
            <w:tcW w:w="3952" w:type="dxa"/>
            <w:tcBorders>
              <w:bottom w:val="double" w:sz="2" w:space="0" w:color="auto"/>
            </w:tcBorders>
            <w:vAlign w:val="center"/>
          </w:tcPr>
          <w:p w:rsidR="00765BDA" w:rsidRPr="00F372DA" w:rsidRDefault="00765BDA" w:rsidP="00FB10F6">
            <w:pPr>
              <w:spacing w:before="60" w:after="60" w:line="200" w:lineRule="exact"/>
              <w:ind w:left="102" w:right="-57"/>
              <w:jc w:val="center"/>
              <w:rPr>
                <w:lang w:val="ro-RO"/>
              </w:rPr>
            </w:pPr>
            <w:r w:rsidRPr="00F372DA">
              <w:rPr>
                <w:b/>
                <w:bCs/>
                <w:lang w:val="ro-RO"/>
              </w:rPr>
              <w:t>Denumirea pe scurt</w:t>
            </w:r>
          </w:p>
        </w:tc>
        <w:tc>
          <w:tcPr>
            <w:tcW w:w="2880" w:type="dxa"/>
            <w:tcBorders>
              <w:bottom w:val="double" w:sz="2" w:space="0" w:color="auto"/>
            </w:tcBorders>
            <w:vAlign w:val="center"/>
          </w:tcPr>
          <w:p w:rsidR="00765BDA" w:rsidRPr="00F372DA" w:rsidRDefault="00765BDA" w:rsidP="00FB10F6">
            <w:pPr>
              <w:spacing w:before="60" w:after="60" w:line="200" w:lineRule="exact"/>
              <w:ind w:right="-57"/>
              <w:jc w:val="center"/>
            </w:pPr>
            <w:r w:rsidRPr="00F372DA">
              <w:rPr>
                <w:b/>
                <w:bCs/>
                <w:lang w:val="ro-RO"/>
              </w:rPr>
              <w:t>Poziţia tarifară</w:t>
            </w:r>
            <w:r w:rsidRPr="00F372DA">
              <w:rPr>
                <w:b/>
                <w:bCs/>
              </w:rPr>
              <w:t xml:space="preserve"> </w:t>
            </w:r>
          </w:p>
        </w:tc>
        <w:tc>
          <w:tcPr>
            <w:tcW w:w="2160" w:type="dxa"/>
            <w:tcBorders>
              <w:bottom w:val="double" w:sz="2" w:space="0" w:color="auto"/>
            </w:tcBorders>
          </w:tcPr>
          <w:p w:rsidR="00765BDA" w:rsidRPr="00F372DA" w:rsidRDefault="00765BDA" w:rsidP="00FB10F6">
            <w:pPr>
              <w:spacing w:before="60" w:after="60" w:line="200" w:lineRule="exact"/>
              <w:ind w:right="-57"/>
              <w:jc w:val="center"/>
              <w:rPr>
                <w:b/>
                <w:bCs/>
                <w:lang w:val="ro-RO"/>
              </w:rPr>
            </w:pPr>
            <w:r w:rsidRPr="00F372DA">
              <w:rPr>
                <w:b/>
                <w:bCs/>
                <w:lang w:val="ro-RO"/>
              </w:rPr>
              <w:t>Data anulării</w:t>
            </w:r>
          </w:p>
        </w:tc>
      </w:tr>
      <w:tr w:rsidR="00765BDA" w:rsidRPr="00F372DA" w:rsidTr="00FB10F6">
        <w:trPr>
          <w:cantSplit/>
        </w:trPr>
        <w:tc>
          <w:tcPr>
            <w:tcW w:w="720" w:type="dxa"/>
            <w:tcBorders>
              <w:top w:val="double" w:sz="2" w:space="0" w:color="auto"/>
            </w:tcBorders>
          </w:tcPr>
          <w:p w:rsidR="00765BDA" w:rsidRPr="00F372DA" w:rsidRDefault="00765BDA" w:rsidP="00FB10F6">
            <w:pPr>
              <w:spacing w:before="120" w:after="120" w:line="260" w:lineRule="exact"/>
              <w:ind w:right="-57"/>
              <w:jc w:val="center"/>
              <w:rPr>
                <w:bCs/>
                <w:lang w:val="ro-RO"/>
              </w:rPr>
            </w:pPr>
            <w:r w:rsidRPr="00F372DA">
              <w:rPr>
                <w:bCs/>
                <w:lang w:val="ro-RO"/>
              </w:rPr>
              <w:t>1.</w:t>
            </w:r>
          </w:p>
        </w:tc>
        <w:tc>
          <w:tcPr>
            <w:tcW w:w="3952" w:type="dxa"/>
            <w:tcBorders>
              <w:top w:val="double" w:sz="2" w:space="0" w:color="auto"/>
            </w:tcBorders>
          </w:tcPr>
          <w:p w:rsidR="00765BDA" w:rsidRPr="00F372DA" w:rsidRDefault="00765BDA" w:rsidP="00FB10F6">
            <w:pPr>
              <w:spacing w:before="120" w:after="120" w:line="260" w:lineRule="exact"/>
              <w:ind w:left="102" w:right="-57"/>
              <w:rPr>
                <w:bCs/>
                <w:lang w:val="ro-RO"/>
              </w:rPr>
            </w:pPr>
            <w:r w:rsidRPr="00F372DA">
              <w:rPr>
                <w:bCs/>
                <w:lang w:val="ro-RO"/>
              </w:rPr>
              <w:t>Animale vii (bovine, păsări de curte)</w:t>
            </w:r>
          </w:p>
        </w:tc>
        <w:tc>
          <w:tcPr>
            <w:tcW w:w="2880" w:type="dxa"/>
            <w:tcBorders>
              <w:top w:val="double" w:sz="2" w:space="0" w:color="auto"/>
            </w:tcBorders>
          </w:tcPr>
          <w:p w:rsidR="00765BDA" w:rsidRPr="00F372DA" w:rsidRDefault="00765BDA" w:rsidP="00FB10F6">
            <w:pPr>
              <w:spacing w:before="120" w:after="120" w:line="260" w:lineRule="exact"/>
              <w:ind w:right="-57"/>
              <w:jc w:val="center"/>
            </w:pPr>
            <w:r w:rsidRPr="00F372DA">
              <w:t xml:space="preserve">0101-0105, </w:t>
            </w:r>
            <w:r w:rsidRPr="00F372DA">
              <w:br/>
              <w:t xml:space="preserve">0106 19 100 00, </w:t>
            </w:r>
            <w:r w:rsidRPr="00F372DA">
              <w:br/>
              <w:t>0106 39 100 00</w:t>
            </w:r>
          </w:p>
        </w:tc>
        <w:tc>
          <w:tcPr>
            <w:tcW w:w="2160" w:type="dxa"/>
            <w:vMerge w:val="restart"/>
            <w:tcBorders>
              <w:top w:val="double" w:sz="2" w:space="0" w:color="auto"/>
            </w:tcBorders>
            <w:vAlign w:val="center"/>
          </w:tcPr>
          <w:p w:rsidR="00765BDA" w:rsidRPr="00F372DA" w:rsidRDefault="00765BDA" w:rsidP="00FB10F6">
            <w:pPr>
              <w:spacing w:before="120" w:after="120" w:line="260" w:lineRule="exact"/>
              <w:ind w:right="-57"/>
              <w:jc w:val="center"/>
              <w:rPr>
                <w:lang w:val="en-US"/>
              </w:rPr>
            </w:pPr>
            <w:r w:rsidRPr="00F372DA">
              <w:rPr>
                <w:lang w:val="en-US"/>
              </w:rPr>
              <w:t xml:space="preserve">Data de </w:t>
            </w:r>
            <w:proofErr w:type="spellStart"/>
            <w:r w:rsidRPr="00F372DA">
              <w:rPr>
                <w:lang w:val="en-US"/>
              </w:rPr>
              <w:t>aderare</w:t>
            </w:r>
            <w:proofErr w:type="spellEnd"/>
            <w:r w:rsidRPr="00F372DA">
              <w:rPr>
                <w:lang w:val="en-US"/>
              </w:rPr>
              <w:t xml:space="preserve"> a </w:t>
            </w:r>
            <w:proofErr w:type="spellStart"/>
            <w:r w:rsidRPr="00F372DA">
              <w:rPr>
                <w:lang w:val="en-US"/>
              </w:rPr>
              <w:t>Republicii</w:t>
            </w:r>
            <w:proofErr w:type="spellEnd"/>
            <w:r w:rsidRPr="00F372DA">
              <w:rPr>
                <w:lang w:val="en-US"/>
              </w:rPr>
              <w:t xml:space="preserve"> Uzbekistan la OMC, </w:t>
            </w:r>
            <w:proofErr w:type="spellStart"/>
            <w:r w:rsidRPr="00F372DA">
              <w:rPr>
                <w:lang w:val="en-US"/>
              </w:rPr>
              <w:t>sau</w:t>
            </w:r>
            <w:proofErr w:type="spellEnd"/>
            <w:r w:rsidRPr="00F372DA">
              <w:rPr>
                <w:lang w:val="en-US"/>
              </w:rPr>
              <w:t xml:space="preserve"> 31 </w:t>
            </w:r>
            <w:proofErr w:type="spellStart"/>
            <w:r w:rsidRPr="00F372DA">
              <w:rPr>
                <w:lang w:val="en-US"/>
              </w:rPr>
              <w:t>decembrie</w:t>
            </w:r>
            <w:proofErr w:type="spellEnd"/>
            <w:r w:rsidRPr="00F372DA">
              <w:rPr>
                <w:lang w:val="en-US"/>
              </w:rPr>
              <w:t xml:space="preserve"> 2020  </w:t>
            </w:r>
            <w:proofErr w:type="spellStart"/>
            <w:r w:rsidRPr="00F372DA">
              <w:rPr>
                <w:lang w:val="en-US"/>
              </w:rPr>
              <w:t>în</w:t>
            </w:r>
            <w:proofErr w:type="spellEnd"/>
            <w:r w:rsidRPr="00F372DA">
              <w:rPr>
                <w:lang w:val="en-US"/>
              </w:rPr>
              <w:t xml:space="preserve"> </w:t>
            </w:r>
            <w:proofErr w:type="spellStart"/>
            <w:r w:rsidRPr="00F372DA">
              <w:rPr>
                <w:lang w:val="en-US"/>
              </w:rPr>
              <w:t>funcție</w:t>
            </w:r>
            <w:proofErr w:type="spellEnd"/>
            <w:r w:rsidRPr="00F372DA">
              <w:rPr>
                <w:lang w:val="en-US"/>
              </w:rPr>
              <w:t xml:space="preserve"> de </w:t>
            </w:r>
            <w:proofErr w:type="spellStart"/>
            <w:r w:rsidRPr="00F372DA">
              <w:rPr>
                <w:lang w:val="en-US"/>
              </w:rPr>
              <w:t>oricare</w:t>
            </w:r>
            <w:proofErr w:type="spellEnd"/>
            <w:r w:rsidRPr="00F372DA">
              <w:rPr>
                <w:lang w:val="en-US"/>
              </w:rPr>
              <w:t xml:space="preserve"> </w:t>
            </w:r>
            <w:proofErr w:type="spellStart"/>
            <w:r w:rsidRPr="00F372DA">
              <w:rPr>
                <w:lang w:val="en-US"/>
              </w:rPr>
              <w:t>survine</w:t>
            </w:r>
            <w:proofErr w:type="spellEnd"/>
            <w:r w:rsidRPr="00F372DA">
              <w:rPr>
                <w:lang w:val="en-US"/>
              </w:rPr>
              <w:t xml:space="preserve"> </w:t>
            </w:r>
            <w:proofErr w:type="spellStart"/>
            <w:r w:rsidRPr="00F372DA">
              <w:rPr>
                <w:lang w:val="en-US"/>
              </w:rPr>
              <w:t>mai</w:t>
            </w:r>
            <w:proofErr w:type="spellEnd"/>
            <w:r w:rsidRPr="00F372DA">
              <w:rPr>
                <w:lang w:val="en-US"/>
              </w:rPr>
              <w:t xml:space="preserve"> </w:t>
            </w:r>
            <w:proofErr w:type="spellStart"/>
            <w:r w:rsidRPr="00F372DA">
              <w:rPr>
                <w:lang w:val="en-US"/>
              </w:rPr>
              <w:t>întâi</w:t>
            </w:r>
            <w:proofErr w:type="spellEnd"/>
          </w:p>
          <w:p w:rsidR="00765BDA" w:rsidRPr="00F372DA" w:rsidRDefault="00765BDA" w:rsidP="00FB10F6">
            <w:pPr>
              <w:spacing w:before="120" w:after="120" w:line="260" w:lineRule="exact"/>
              <w:ind w:right="-57"/>
              <w:jc w:val="center"/>
              <w:rPr>
                <w:lang w:val="en-US"/>
              </w:rPr>
            </w:pPr>
          </w:p>
        </w:tc>
      </w:tr>
      <w:tr w:rsidR="00765BDA" w:rsidRPr="00F372DA" w:rsidTr="00FB10F6">
        <w:trPr>
          <w:cantSplit/>
        </w:trPr>
        <w:tc>
          <w:tcPr>
            <w:tcW w:w="720" w:type="dxa"/>
          </w:tcPr>
          <w:p w:rsidR="00765BDA" w:rsidRPr="00F372DA" w:rsidRDefault="00765BDA" w:rsidP="00FB10F6">
            <w:pPr>
              <w:spacing w:before="120" w:after="120" w:line="260" w:lineRule="exact"/>
              <w:ind w:right="-57"/>
              <w:jc w:val="center"/>
              <w:rPr>
                <w:bCs/>
                <w:lang w:val="ro-RO"/>
              </w:rPr>
            </w:pPr>
            <w:r w:rsidRPr="00F372DA">
              <w:rPr>
                <w:bCs/>
                <w:lang w:val="ro-RO"/>
              </w:rPr>
              <w:t>2.</w:t>
            </w:r>
          </w:p>
        </w:tc>
        <w:tc>
          <w:tcPr>
            <w:tcW w:w="3952" w:type="dxa"/>
          </w:tcPr>
          <w:p w:rsidR="00765BDA" w:rsidRPr="00F372DA" w:rsidRDefault="00765BDA" w:rsidP="00FB10F6">
            <w:pPr>
              <w:spacing w:before="120" w:after="120" w:line="260" w:lineRule="exact"/>
              <w:ind w:left="102" w:right="-57"/>
              <w:rPr>
                <w:bCs/>
                <w:lang w:val="ro-RO"/>
              </w:rPr>
            </w:pPr>
            <w:r w:rsidRPr="00F372DA">
              <w:rPr>
                <w:bCs/>
                <w:lang w:val="ro-RO"/>
              </w:rPr>
              <w:t>Carne și organe comestibile</w:t>
            </w:r>
          </w:p>
        </w:tc>
        <w:tc>
          <w:tcPr>
            <w:tcW w:w="2880" w:type="dxa"/>
          </w:tcPr>
          <w:p w:rsidR="00765BDA" w:rsidRPr="00F372DA" w:rsidRDefault="00765BDA" w:rsidP="00FB10F6">
            <w:pPr>
              <w:spacing w:before="120" w:after="120" w:line="260" w:lineRule="exact"/>
              <w:ind w:right="-57"/>
              <w:jc w:val="center"/>
            </w:pPr>
            <w:r w:rsidRPr="00F372DA">
              <w:t>0201-0210</w:t>
            </w:r>
          </w:p>
        </w:tc>
        <w:tc>
          <w:tcPr>
            <w:tcW w:w="2160" w:type="dxa"/>
            <w:vMerge/>
          </w:tcPr>
          <w:p w:rsidR="00765BDA" w:rsidRPr="00F372DA" w:rsidRDefault="00765BDA" w:rsidP="00FB10F6">
            <w:pPr>
              <w:spacing w:before="120" w:after="120" w:line="260" w:lineRule="exact"/>
              <w:ind w:right="-57"/>
              <w:jc w:val="center"/>
            </w:pPr>
          </w:p>
        </w:tc>
      </w:tr>
      <w:tr w:rsidR="00765BDA" w:rsidRPr="00F372DA" w:rsidTr="00FB10F6">
        <w:trPr>
          <w:cantSplit/>
        </w:trPr>
        <w:tc>
          <w:tcPr>
            <w:tcW w:w="720" w:type="dxa"/>
          </w:tcPr>
          <w:p w:rsidR="00765BDA" w:rsidRPr="00F372DA" w:rsidRDefault="00765BDA" w:rsidP="00FB10F6">
            <w:pPr>
              <w:spacing w:before="120" w:after="120" w:line="260" w:lineRule="exact"/>
              <w:ind w:right="-57"/>
              <w:jc w:val="center"/>
              <w:rPr>
                <w:bCs/>
                <w:lang w:val="ro-RO"/>
              </w:rPr>
            </w:pPr>
            <w:r w:rsidRPr="00F372DA">
              <w:rPr>
                <w:bCs/>
                <w:lang w:val="ro-RO"/>
              </w:rPr>
              <w:t>3.</w:t>
            </w:r>
          </w:p>
        </w:tc>
        <w:tc>
          <w:tcPr>
            <w:tcW w:w="3952" w:type="dxa"/>
          </w:tcPr>
          <w:p w:rsidR="00765BDA" w:rsidRPr="00F372DA" w:rsidRDefault="00765BDA" w:rsidP="00FB10F6">
            <w:pPr>
              <w:spacing w:before="120" w:after="120" w:line="260" w:lineRule="exact"/>
              <w:ind w:left="102" w:right="-57"/>
              <w:rPr>
                <w:bCs/>
                <w:lang w:val="ro-RO"/>
              </w:rPr>
            </w:pPr>
            <w:r w:rsidRPr="00F372DA">
              <w:rPr>
                <w:bCs/>
                <w:lang w:val="ro-RO"/>
              </w:rPr>
              <w:t>Cereale: grâu, secară, orz, ovăz, orez, porumb, hrișcă</w:t>
            </w:r>
          </w:p>
        </w:tc>
        <w:tc>
          <w:tcPr>
            <w:tcW w:w="2880" w:type="dxa"/>
          </w:tcPr>
          <w:p w:rsidR="00765BDA" w:rsidRPr="00F372DA" w:rsidRDefault="00765BDA" w:rsidP="00FB10F6">
            <w:pPr>
              <w:spacing w:before="120" w:after="120" w:line="260" w:lineRule="exact"/>
              <w:ind w:right="-57"/>
              <w:jc w:val="center"/>
            </w:pPr>
            <w:r w:rsidRPr="00F372DA">
              <w:t>10</w:t>
            </w:r>
          </w:p>
        </w:tc>
        <w:tc>
          <w:tcPr>
            <w:tcW w:w="2160" w:type="dxa"/>
            <w:vMerge/>
          </w:tcPr>
          <w:p w:rsidR="00765BDA" w:rsidRPr="00F372DA" w:rsidRDefault="00765BDA" w:rsidP="00FB10F6">
            <w:pPr>
              <w:spacing w:before="120" w:after="120" w:line="260" w:lineRule="exact"/>
              <w:ind w:right="-57"/>
              <w:jc w:val="center"/>
            </w:pPr>
          </w:p>
        </w:tc>
      </w:tr>
      <w:tr w:rsidR="00765BDA" w:rsidRPr="00F372DA" w:rsidTr="00FB10F6">
        <w:trPr>
          <w:cantSplit/>
          <w:trHeight w:val="270"/>
        </w:trPr>
        <w:tc>
          <w:tcPr>
            <w:tcW w:w="720" w:type="dxa"/>
          </w:tcPr>
          <w:p w:rsidR="00765BDA" w:rsidRPr="00F372DA" w:rsidRDefault="00765BDA" w:rsidP="00FB10F6">
            <w:pPr>
              <w:spacing w:before="120" w:after="120" w:line="260" w:lineRule="exact"/>
              <w:ind w:right="-57"/>
              <w:jc w:val="center"/>
            </w:pPr>
            <w:r w:rsidRPr="00F372DA">
              <w:t>4.</w:t>
            </w:r>
          </w:p>
        </w:tc>
        <w:tc>
          <w:tcPr>
            <w:tcW w:w="3952" w:type="dxa"/>
          </w:tcPr>
          <w:p w:rsidR="00765BDA" w:rsidRPr="00F372DA" w:rsidRDefault="00765BDA" w:rsidP="00FB10F6">
            <w:pPr>
              <w:spacing w:before="120" w:after="120" w:line="260" w:lineRule="exact"/>
              <w:ind w:left="102" w:right="-57"/>
              <w:rPr>
                <w:lang w:val="ro-RO"/>
              </w:rPr>
            </w:pPr>
            <w:r w:rsidRPr="00F372DA">
              <w:rPr>
                <w:lang w:val="en-US"/>
              </w:rPr>
              <w:t>F</w:t>
            </w:r>
            <w:r w:rsidRPr="00F372DA">
              <w:rPr>
                <w:lang w:val="ro-RO"/>
              </w:rPr>
              <w:t>ăina, crupe</w:t>
            </w:r>
          </w:p>
        </w:tc>
        <w:tc>
          <w:tcPr>
            <w:tcW w:w="2880" w:type="dxa"/>
          </w:tcPr>
          <w:p w:rsidR="00765BDA" w:rsidRPr="00F372DA" w:rsidRDefault="00765BDA" w:rsidP="00FB10F6">
            <w:pPr>
              <w:spacing w:before="120" w:after="120" w:line="260" w:lineRule="exact"/>
              <w:ind w:right="-57"/>
              <w:jc w:val="center"/>
            </w:pPr>
            <w:r w:rsidRPr="00F372DA">
              <w:t>1101 00-1106</w:t>
            </w:r>
          </w:p>
        </w:tc>
        <w:tc>
          <w:tcPr>
            <w:tcW w:w="2160" w:type="dxa"/>
            <w:vMerge/>
          </w:tcPr>
          <w:p w:rsidR="00765BDA" w:rsidRPr="00F372DA" w:rsidRDefault="00765BDA" w:rsidP="00FB10F6">
            <w:pPr>
              <w:spacing w:before="120" w:after="120" w:line="260" w:lineRule="exact"/>
              <w:ind w:right="-57"/>
              <w:jc w:val="center"/>
            </w:pPr>
          </w:p>
        </w:tc>
      </w:tr>
      <w:tr w:rsidR="00765BDA" w:rsidRPr="00F372DA" w:rsidTr="00FB10F6">
        <w:trPr>
          <w:cantSplit/>
        </w:trPr>
        <w:tc>
          <w:tcPr>
            <w:tcW w:w="720" w:type="dxa"/>
          </w:tcPr>
          <w:p w:rsidR="00765BDA" w:rsidRPr="00F372DA" w:rsidRDefault="00765BDA" w:rsidP="00FB10F6">
            <w:pPr>
              <w:spacing w:before="120" w:after="120" w:line="260" w:lineRule="exact"/>
              <w:ind w:right="-57"/>
              <w:jc w:val="center"/>
            </w:pPr>
            <w:r w:rsidRPr="00F372DA">
              <w:t>5.</w:t>
            </w:r>
          </w:p>
        </w:tc>
        <w:tc>
          <w:tcPr>
            <w:tcW w:w="3952" w:type="dxa"/>
          </w:tcPr>
          <w:p w:rsidR="00765BDA" w:rsidRPr="00F372DA" w:rsidRDefault="00765BDA" w:rsidP="00FB10F6">
            <w:pPr>
              <w:spacing w:before="120" w:after="120" w:line="260" w:lineRule="exact"/>
              <w:ind w:left="102" w:right="-57"/>
              <w:rPr>
                <w:lang w:val="ro-RO"/>
              </w:rPr>
            </w:pPr>
            <w:r w:rsidRPr="00F372DA">
              <w:rPr>
                <w:lang w:val="ro-RO"/>
              </w:rPr>
              <w:t>Uleiuri vegetale</w:t>
            </w:r>
          </w:p>
        </w:tc>
        <w:tc>
          <w:tcPr>
            <w:tcW w:w="2880" w:type="dxa"/>
          </w:tcPr>
          <w:p w:rsidR="00765BDA" w:rsidRPr="00F372DA" w:rsidRDefault="00765BDA" w:rsidP="00FB10F6">
            <w:pPr>
              <w:spacing w:before="120" w:after="120" w:line="260" w:lineRule="exact"/>
              <w:ind w:right="-57"/>
              <w:jc w:val="center"/>
            </w:pPr>
            <w:r w:rsidRPr="00F372DA">
              <w:t xml:space="preserve">1507, 1512 </w:t>
            </w:r>
            <w:r w:rsidRPr="00F372DA">
              <w:br/>
              <w:t xml:space="preserve">(кроме технических </w:t>
            </w:r>
            <w:r w:rsidRPr="00F372DA">
              <w:br/>
              <w:t xml:space="preserve">1512 11 1000, </w:t>
            </w:r>
            <w:r w:rsidRPr="00F372DA">
              <w:br/>
              <w:t xml:space="preserve">1512 21 1000), </w:t>
            </w:r>
            <w:r w:rsidRPr="00F372DA">
              <w:br/>
              <w:t>1516</w:t>
            </w:r>
          </w:p>
        </w:tc>
        <w:tc>
          <w:tcPr>
            <w:tcW w:w="2160" w:type="dxa"/>
            <w:vMerge/>
          </w:tcPr>
          <w:p w:rsidR="00765BDA" w:rsidRPr="00F372DA" w:rsidRDefault="00765BDA" w:rsidP="00FB10F6">
            <w:pPr>
              <w:spacing w:before="120" w:after="120" w:line="260" w:lineRule="exact"/>
              <w:ind w:right="-57"/>
              <w:jc w:val="center"/>
            </w:pPr>
          </w:p>
        </w:tc>
      </w:tr>
      <w:tr w:rsidR="00765BDA" w:rsidRPr="00F372DA" w:rsidTr="00FB10F6">
        <w:trPr>
          <w:cantSplit/>
        </w:trPr>
        <w:tc>
          <w:tcPr>
            <w:tcW w:w="720" w:type="dxa"/>
            <w:tcBorders>
              <w:bottom w:val="single" w:sz="4" w:space="0" w:color="auto"/>
            </w:tcBorders>
          </w:tcPr>
          <w:p w:rsidR="00765BDA" w:rsidRPr="00F372DA" w:rsidRDefault="00765BDA" w:rsidP="00FB10F6">
            <w:pPr>
              <w:spacing w:before="120" w:after="120" w:line="260" w:lineRule="exact"/>
              <w:ind w:right="-57"/>
              <w:jc w:val="center"/>
            </w:pPr>
            <w:r w:rsidRPr="00F372DA">
              <w:t>6.</w:t>
            </w:r>
          </w:p>
        </w:tc>
        <w:tc>
          <w:tcPr>
            <w:tcW w:w="3952" w:type="dxa"/>
            <w:tcBorders>
              <w:bottom w:val="single" w:sz="4" w:space="0" w:color="auto"/>
            </w:tcBorders>
          </w:tcPr>
          <w:p w:rsidR="00765BDA" w:rsidRPr="00F372DA" w:rsidRDefault="00765BDA" w:rsidP="00FB10F6">
            <w:pPr>
              <w:spacing w:before="120" w:after="120" w:line="260" w:lineRule="exact"/>
              <w:ind w:left="102" w:right="-57"/>
              <w:rPr>
                <w:lang w:val="ro-RO"/>
              </w:rPr>
            </w:pPr>
            <w:r w:rsidRPr="00F372DA">
              <w:rPr>
                <w:lang w:val="ro-RO"/>
              </w:rPr>
              <w:t>Zahăr</w:t>
            </w:r>
          </w:p>
        </w:tc>
        <w:tc>
          <w:tcPr>
            <w:tcW w:w="2880" w:type="dxa"/>
            <w:tcBorders>
              <w:bottom w:val="single" w:sz="4" w:space="0" w:color="auto"/>
            </w:tcBorders>
          </w:tcPr>
          <w:p w:rsidR="00765BDA" w:rsidRPr="00F372DA" w:rsidRDefault="00765BDA" w:rsidP="00FB10F6">
            <w:pPr>
              <w:spacing w:before="120" w:after="120" w:line="260" w:lineRule="exact"/>
              <w:ind w:right="-57"/>
              <w:jc w:val="center"/>
            </w:pPr>
            <w:r w:rsidRPr="00F372DA">
              <w:t>1701−1702</w:t>
            </w:r>
          </w:p>
        </w:tc>
        <w:tc>
          <w:tcPr>
            <w:tcW w:w="2160" w:type="dxa"/>
            <w:vMerge/>
          </w:tcPr>
          <w:p w:rsidR="00765BDA" w:rsidRPr="00F372DA" w:rsidRDefault="00765BDA" w:rsidP="00FB10F6">
            <w:pPr>
              <w:spacing w:before="120" w:after="120" w:line="260" w:lineRule="exact"/>
              <w:ind w:right="-57"/>
              <w:jc w:val="center"/>
            </w:pPr>
          </w:p>
        </w:tc>
      </w:tr>
      <w:tr w:rsidR="00765BDA" w:rsidRPr="00F372DA" w:rsidTr="00FB10F6">
        <w:trPr>
          <w:cantSplit/>
        </w:trPr>
        <w:tc>
          <w:tcPr>
            <w:tcW w:w="720" w:type="dxa"/>
            <w:tcBorders>
              <w:top w:val="single" w:sz="4" w:space="0" w:color="auto"/>
            </w:tcBorders>
          </w:tcPr>
          <w:p w:rsidR="00765BDA" w:rsidRPr="00F372DA" w:rsidRDefault="00765BDA" w:rsidP="00FB10F6">
            <w:pPr>
              <w:spacing w:before="120" w:after="120" w:line="260" w:lineRule="exact"/>
              <w:ind w:right="-57"/>
              <w:jc w:val="center"/>
            </w:pPr>
            <w:r w:rsidRPr="00F372DA">
              <w:lastRenderedPageBreak/>
              <w:t>7.</w:t>
            </w:r>
          </w:p>
        </w:tc>
        <w:tc>
          <w:tcPr>
            <w:tcW w:w="3952" w:type="dxa"/>
            <w:tcBorders>
              <w:top w:val="single" w:sz="4" w:space="0" w:color="auto"/>
            </w:tcBorders>
          </w:tcPr>
          <w:p w:rsidR="00765BDA" w:rsidRPr="00F372DA" w:rsidRDefault="00765BDA" w:rsidP="00FB10F6">
            <w:pPr>
              <w:rPr>
                <w:lang w:val="en-US"/>
              </w:rPr>
            </w:pPr>
            <w:proofErr w:type="spellStart"/>
            <w:r w:rsidRPr="00F372DA">
              <w:rPr>
                <w:lang w:val="en-US"/>
              </w:rPr>
              <w:t>Produse</w:t>
            </w:r>
            <w:proofErr w:type="spellEnd"/>
            <w:r w:rsidRPr="00F372DA">
              <w:rPr>
                <w:lang w:val="en-US"/>
              </w:rPr>
              <w:t xml:space="preserve"> de </w:t>
            </w:r>
            <w:proofErr w:type="spellStart"/>
            <w:r w:rsidRPr="00F372DA">
              <w:rPr>
                <w:lang w:val="en-US"/>
              </w:rPr>
              <w:t>brutărie</w:t>
            </w:r>
            <w:proofErr w:type="spellEnd"/>
            <w:r w:rsidRPr="00F372DA">
              <w:rPr>
                <w:lang w:val="en-US"/>
              </w:rPr>
              <w:t xml:space="preserve"> (cu </w:t>
            </w:r>
            <w:proofErr w:type="spellStart"/>
            <w:r w:rsidRPr="00F372DA">
              <w:rPr>
                <w:lang w:val="en-US"/>
              </w:rPr>
              <w:t>excepţia</w:t>
            </w:r>
            <w:proofErr w:type="spellEnd"/>
            <w:r w:rsidRPr="00F372DA">
              <w:rPr>
                <w:lang w:val="en-US"/>
              </w:rPr>
              <w:t xml:space="preserve"> </w:t>
            </w:r>
            <w:proofErr w:type="spellStart"/>
            <w:r w:rsidRPr="00F372DA">
              <w:rPr>
                <w:lang w:val="en-US"/>
              </w:rPr>
              <w:t>produselor</w:t>
            </w:r>
            <w:proofErr w:type="spellEnd"/>
            <w:r w:rsidRPr="00F372DA">
              <w:rPr>
                <w:lang w:val="en-US"/>
              </w:rPr>
              <w:t xml:space="preserve"> de </w:t>
            </w:r>
            <w:proofErr w:type="spellStart"/>
            <w:r w:rsidRPr="00F372DA">
              <w:rPr>
                <w:lang w:val="en-US"/>
              </w:rPr>
              <w:t>patiserie</w:t>
            </w:r>
            <w:proofErr w:type="spellEnd"/>
            <w:r w:rsidRPr="00F372DA">
              <w:rPr>
                <w:lang w:val="en-US"/>
              </w:rPr>
              <w:t xml:space="preserve"> </w:t>
            </w:r>
            <w:proofErr w:type="spellStart"/>
            <w:r w:rsidRPr="00F372DA">
              <w:rPr>
                <w:lang w:val="en-US"/>
              </w:rPr>
              <w:t>şi</w:t>
            </w:r>
            <w:proofErr w:type="spellEnd"/>
            <w:r w:rsidRPr="00F372DA">
              <w:rPr>
                <w:lang w:val="en-US"/>
              </w:rPr>
              <w:t xml:space="preserve"> </w:t>
            </w:r>
            <w:proofErr w:type="spellStart"/>
            <w:r w:rsidRPr="00F372DA">
              <w:rPr>
                <w:lang w:val="en-US"/>
              </w:rPr>
              <w:t>biscuiţi</w:t>
            </w:r>
            <w:proofErr w:type="spellEnd"/>
            <w:r w:rsidRPr="00F372DA">
              <w:rPr>
                <w:lang w:val="en-US"/>
              </w:rPr>
              <w:t xml:space="preserve"> de </w:t>
            </w:r>
            <w:proofErr w:type="spellStart"/>
            <w:r w:rsidRPr="00F372DA">
              <w:rPr>
                <w:lang w:val="en-US"/>
              </w:rPr>
              <w:t>producţie</w:t>
            </w:r>
            <w:proofErr w:type="spellEnd"/>
            <w:r w:rsidRPr="00F372DA">
              <w:rPr>
                <w:lang w:val="en-US"/>
              </w:rPr>
              <w:t xml:space="preserve"> </w:t>
            </w:r>
            <w:proofErr w:type="spellStart"/>
            <w:r w:rsidRPr="00F372DA">
              <w:rPr>
                <w:lang w:val="en-US"/>
              </w:rPr>
              <w:t>proprie</w:t>
            </w:r>
            <w:proofErr w:type="spellEnd"/>
            <w:r w:rsidRPr="00F372DA">
              <w:rPr>
                <w:lang w:val="en-US"/>
              </w:rPr>
              <w:t>)</w:t>
            </w:r>
          </w:p>
        </w:tc>
        <w:tc>
          <w:tcPr>
            <w:tcW w:w="2880" w:type="dxa"/>
            <w:tcBorders>
              <w:top w:val="single" w:sz="4" w:space="0" w:color="auto"/>
            </w:tcBorders>
          </w:tcPr>
          <w:p w:rsidR="00765BDA" w:rsidRPr="00F372DA" w:rsidRDefault="00765BDA" w:rsidP="00FB10F6">
            <w:pPr>
              <w:spacing w:before="120" w:after="120" w:line="260" w:lineRule="exact"/>
              <w:ind w:right="-57"/>
              <w:jc w:val="center"/>
            </w:pPr>
            <w:r w:rsidRPr="00F372DA">
              <w:t>1905</w:t>
            </w:r>
          </w:p>
        </w:tc>
        <w:tc>
          <w:tcPr>
            <w:tcW w:w="2160" w:type="dxa"/>
            <w:vMerge/>
          </w:tcPr>
          <w:p w:rsidR="00765BDA" w:rsidRPr="00F372DA" w:rsidRDefault="00765BDA" w:rsidP="00FB10F6">
            <w:pPr>
              <w:spacing w:before="120" w:after="120" w:line="260" w:lineRule="exact"/>
              <w:ind w:right="-57"/>
              <w:jc w:val="center"/>
            </w:pPr>
          </w:p>
        </w:tc>
      </w:tr>
      <w:tr w:rsidR="00765BDA" w:rsidRPr="00F372DA" w:rsidTr="00FB10F6">
        <w:trPr>
          <w:cantSplit/>
        </w:trPr>
        <w:tc>
          <w:tcPr>
            <w:tcW w:w="720" w:type="dxa"/>
          </w:tcPr>
          <w:p w:rsidR="00765BDA" w:rsidRPr="00F372DA" w:rsidRDefault="00765BDA" w:rsidP="00FB10F6">
            <w:pPr>
              <w:spacing w:before="120" w:after="120" w:line="260" w:lineRule="exact"/>
              <w:ind w:right="-57"/>
              <w:jc w:val="center"/>
            </w:pPr>
            <w:r w:rsidRPr="00F372DA">
              <w:t>8.</w:t>
            </w:r>
          </w:p>
        </w:tc>
        <w:tc>
          <w:tcPr>
            <w:tcW w:w="3952" w:type="dxa"/>
          </w:tcPr>
          <w:p w:rsidR="00765BDA" w:rsidRPr="00F372DA" w:rsidRDefault="00765BDA" w:rsidP="00FB10F6">
            <w:pPr>
              <w:spacing w:before="120" w:after="120" w:line="260" w:lineRule="exact"/>
              <w:ind w:left="102" w:right="-57"/>
              <w:rPr>
                <w:lang w:val="en-US"/>
              </w:rPr>
            </w:pPr>
            <w:proofErr w:type="spellStart"/>
            <w:r w:rsidRPr="00F372DA">
              <w:rPr>
                <w:lang w:val="en-US"/>
              </w:rPr>
              <w:t>Piei</w:t>
            </w:r>
            <w:proofErr w:type="spellEnd"/>
            <w:r w:rsidRPr="00F372DA">
              <w:rPr>
                <w:lang w:val="en-US"/>
              </w:rPr>
              <w:t xml:space="preserve"> brute (</w:t>
            </w:r>
            <w:proofErr w:type="spellStart"/>
            <w:r w:rsidRPr="00F372DA">
              <w:rPr>
                <w:lang w:val="en-US"/>
              </w:rPr>
              <w:t>inclusiv</w:t>
            </w:r>
            <w:proofErr w:type="spellEnd"/>
            <w:r w:rsidRPr="00F372DA">
              <w:rPr>
                <w:lang w:val="en-US"/>
              </w:rPr>
              <w:t xml:space="preserve"> non-standard), </w:t>
            </w:r>
            <w:proofErr w:type="spellStart"/>
            <w:r w:rsidRPr="00F372DA">
              <w:rPr>
                <w:lang w:val="en-US"/>
              </w:rPr>
              <w:t>blanuri</w:t>
            </w:r>
            <w:proofErr w:type="spellEnd"/>
            <w:r w:rsidRPr="00F372DA">
              <w:rPr>
                <w:lang w:val="en-US"/>
              </w:rPr>
              <w:t xml:space="preserve">, </w:t>
            </w:r>
            <w:proofErr w:type="spellStart"/>
            <w:r w:rsidRPr="00F372DA">
              <w:rPr>
                <w:lang w:val="en-US"/>
              </w:rPr>
              <w:t>inclusiv</w:t>
            </w:r>
            <w:proofErr w:type="spellEnd"/>
            <w:r w:rsidRPr="00F372DA">
              <w:rPr>
                <w:lang w:val="en-US"/>
              </w:rPr>
              <w:t xml:space="preserve"> </w:t>
            </w:r>
            <w:proofErr w:type="spellStart"/>
            <w:r w:rsidRPr="00F372DA">
              <w:rPr>
                <w:lang w:val="en-US"/>
              </w:rPr>
              <w:t>Astrahan</w:t>
            </w:r>
            <w:proofErr w:type="spellEnd"/>
            <w:r w:rsidRPr="00F372DA">
              <w:rPr>
                <w:lang w:val="en-US"/>
              </w:rPr>
              <w:t xml:space="preserve"> (</w:t>
            </w:r>
            <w:proofErr w:type="spellStart"/>
            <w:r w:rsidRPr="00F372DA">
              <w:rPr>
                <w:lang w:val="en-US"/>
              </w:rPr>
              <w:t>inclusiv</w:t>
            </w:r>
            <w:proofErr w:type="spellEnd"/>
            <w:r w:rsidRPr="00F372DA">
              <w:rPr>
                <w:lang w:val="en-US"/>
              </w:rPr>
              <w:t xml:space="preserve"> non-standard)</w:t>
            </w:r>
          </w:p>
        </w:tc>
        <w:tc>
          <w:tcPr>
            <w:tcW w:w="2880" w:type="dxa"/>
          </w:tcPr>
          <w:p w:rsidR="00765BDA" w:rsidRPr="00F372DA" w:rsidRDefault="00765BDA" w:rsidP="00FB10F6">
            <w:pPr>
              <w:spacing w:before="120" w:after="120" w:line="260" w:lineRule="exact"/>
              <w:ind w:right="-57"/>
              <w:jc w:val="center"/>
            </w:pPr>
            <w:r w:rsidRPr="00F372DA">
              <w:t>4101-4103,</w:t>
            </w:r>
            <w:r w:rsidRPr="00F372DA">
              <w:br/>
              <w:t>4301-4302</w:t>
            </w:r>
          </w:p>
        </w:tc>
        <w:tc>
          <w:tcPr>
            <w:tcW w:w="2160" w:type="dxa"/>
            <w:vMerge/>
          </w:tcPr>
          <w:p w:rsidR="00765BDA" w:rsidRPr="00F372DA" w:rsidRDefault="00765BDA" w:rsidP="00FB10F6">
            <w:pPr>
              <w:spacing w:before="120" w:after="120" w:line="260" w:lineRule="exact"/>
              <w:ind w:right="-57"/>
              <w:jc w:val="center"/>
            </w:pPr>
          </w:p>
        </w:tc>
      </w:tr>
      <w:tr w:rsidR="00765BDA" w:rsidRPr="00F372DA" w:rsidTr="00FB10F6">
        <w:trPr>
          <w:cantSplit/>
        </w:trPr>
        <w:tc>
          <w:tcPr>
            <w:tcW w:w="720" w:type="dxa"/>
          </w:tcPr>
          <w:p w:rsidR="00765BDA" w:rsidRPr="00F372DA" w:rsidRDefault="00765BDA" w:rsidP="00FB10F6">
            <w:pPr>
              <w:spacing w:before="120" w:after="120" w:line="260" w:lineRule="exact"/>
              <w:ind w:right="-57"/>
              <w:jc w:val="center"/>
            </w:pPr>
            <w:r w:rsidRPr="00F372DA">
              <w:t>9.</w:t>
            </w:r>
          </w:p>
        </w:tc>
        <w:tc>
          <w:tcPr>
            <w:tcW w:w="3952" w:type="dxa"/>
          </w:tcPr>
          <w:p w:rsidR="00765BDA" w:rsidRPr="00F372DA" w:rsidRDefault="00765BDA" w:rsidP="00FB10F6">
            <w:pPr>
              <w:rPr>
                <w:lang w:val="en-US"/>
              </w:rPr>
            </w:pPr>
            <w:proofErr w:type="spellStart"/>
            <w:r w:rsidRPr="00F372DA">
              <w:rPr>
                <w:lang w:val="en-US"/>
              </w:rPr>
              <w:t>Gogoşi</w:t>
            </w:r>
            <w:proofErr w:type="spellEnd"/>
            <w:r w:rsidRPr="00F372DA">
              <w:rPr>
                <w:lang w:val="en-US"/>
              </w:rPr>
              <w:t xml:space="preserve"> de </w:t>
            </w:r>
            <w:proofErr w:type="spellStart"/>
            <w:r w:rsidRPr="00F372DA">
              <w:rPr>
                <w:lang w:val="en-US"/>
              </w:rPr>
              <w:t>viermi</w:t>
            </w:r>
            <w:proofErr w:type="spellEnd"/>
            <w:r w:rsidRPr="00F372DA">
              <w:rPr>
                <w:lang w:val="en-US"/>
              </w:rPr>
              <w:t xml:space="preserve"> de </w:t>
            </w:r>
            <w:proofErr w:type="spellStart"/>
            <w:r w:rsidRPr="00F372DA">
              <w:rPr>
                <w:lang w:val="en-US"/>
              </w:rPr>
              <w:t>mătase</w:t>
            </w:r>
            <w:proofErr w:type="spellEnd"/>
            <w:r w:rsidRPr="00F372DA">
              <w:rPr>
                <w:lang w:val="en-US"/>
              </w:rPr>
              <w:t xml:space="preserve"> de </w:t>
            </w:r>
            <w:proofErr w:type="spellStart"/>
            <w:r w:rsidRPr="00F372DA">
              <w:rPr>
                <w:lang w:val="en-US"/>
              </w:rPr>
              <w:t>pe</w:t>
            </w:r>
            <w:proofErr w:type="spellEnd"/>
            <w:r w:rsidRPr="00F372DA">
              <w:rPr>
                <w:lang w:val="en-US"/>
              </w:rPr>
              <w:t xml:space="preserve"> care </w:t>
            </w:r>
            <w:proofErr w:type="gramStart"/>
            <w:r w:rsidRPr="00F372DA">
              <w:rPr>
                <w:lang w:val="en-US"/>
              </w:rPr>
              <w:t xml:space="preserve">se pot </w:t>
            </w:r>
            <w:proofErr w:type="spellStart"/>
            <w:r w:rsidRPr="00F372DA">
              <w:rPr>
                <w:lang w:val="en-US"/>
              </w:rPr>
              <w:t>depăna</w:t>
            </w:r>
            <w:proofErr w:type="spellEnd"/>
            <w:r w:rsidRPr="00F372DA">
              <w:rPr>
                <w:lang w:val="en-US"/>
              </w:rPr>
              <w:t xml:space="preserve"> fire</w:t>
            </w:r>
            <w:proofErr w:type="gramEnd"/>
            <w:r w:rsidRPr="00F372DA">
              <w:rPr>
                <w:lang w:val="en-US"/>
              </w:rPr>
              <w:t xml:space="preserve">. </w:t>
            </w:r>
            <w:proofErr w:type="spellStart"/>
            <w:r w:rsidRPr="00F372DA">
              <w:rPr>
                <w:lang w:val="en-US"/>
              </w:rPr>
              <w:t>Mătasea</w:t>
            </w:r>
            <w:proofErr w:type="spellEnd"/>
            <w:r w:rsidRPr="00F372DA">
              <w:rPr>
                <w:lang w:val="en-US"/>
              </w:rPr>
              <w:t xml:space="preserve"> </w:t>
            </w:r>
            <w:proofErr w:type="spellStart"/>
            <w:r w:rsidRPr="00F372DA">
              <w:rPr>
                <w:lang w:val="en-US"/>
              </w:rPr>
              <w:t>brută</w:t>
            </w:r>
            <w:proofErr w:type="spellEnd"/>
            <w:r w:rsidRPr="00F372DA">
              <w:rPr>
                <w:lang w:val="en-US"/>
              </w:rPr>
              <w:t xml:space="preserve"> (</w:t>
            </w:r>
            <w:proofErr w:type="spellStart"/>
            <w:r w:rsidRPr="00F372DA">
              <w:rPr>
                <w:lang w:val="en-US"/>
              </w:rPr>
              <w:t>nerăsucită</w:t>
            </w:r>
            <w:proofErr w:type="spellEnd"/>
            <w:r w:rsidRPr="00F372DA">
              <w:rPr>
                <w:lang w:val="en-US"/>
              </w:rPr>
              <w:t xml:space="preserve">). </w:t>
            </w:r>
            <w:proofErr w:type="spellStart"/>
            <w:r w:rsidRPr="00F372DA">
              <w:rPr>
                <w:lang w:val="en-US"/>
              </w:rPr>
              <w:t>Deşeuri</w:t>
            </w:r>
            <w:proofErr w:type="spellEnd"/>
            <w:r w:rsidRPr="00F372DA">
              <w:rPr>
                <w:lang w:val="en-US"/>
              </w:rPr>
              <w:t xml:space="preserve"> de </w:t>
            </w:r>
            <w:proofErr w:type="spellStart"/>
            <w:r w:rsidRPr="00F372DA">
              <w:rPr>
                <w:lang w:val="en-US"/>
              </w:rPr>
              <w:t>mătase</w:t>
            </w:r>
            <w:proofErr w:type="spellEnd"/>
            <w:r w:rsidRPr="00F372DA">
              <w:rPr>
                <w:lang w:val="en-US"/>
              </w:rPr>
              <w:t xml:space="preserve"> (</w:t>
            </w:r>
            <w:proofErr w:type="spellStart"/>
            <w:r w:rsidRPr="00F372DA">
              <w:rPr>
                <w:lang w:val="en-US"/>
              </w:rPr>
              <w:t>inclusiv</w:t>
            </w:r>
            <w:proofErr w:type="spellEnd"/>
            <w:r w:rsidRPr="00F372DA">
              <w:rPr>
                <w:lang w:val="en-US"/>
              </w:rPr>
              <w:t xml:space="preserve"> </w:t>
            </w:r>
            <w:proofErr w:type="spellStart"/>
            <w:r w:rsidRPr="00F372DA">
              <w:rPr>
                <w:lang w:val="en-US"/>
              </w:rPr>
              <w:t>gogoşi</w:t>
            </w:r>
            <w:proofErr w:type="spellEnd"/>
            <w:r w:rsidRPr="00F372DA">
              <w:rPr>
                <w:lang w:val="en-US"/>
              </w:rPr>
              <w:t xml:space="preserve"> </w:t>
            </w:r>
            <w:proofErr w:type="spellStart"/>
            <w:r w:rsidRPr="00F372DA">
              <w:rPr>
                <w:lang w:val="en-US"/>
              </w:rPr>
              <w:t>nedepănabili</w:t>
            </w:r>
            <w:proofErr w:type="spellEnd"/>
            <w:r w:rsidRPr="00F372DA">
              <w:rPr>
                <w:lang w:val="en-US"/>
              </w:rPr>
              <w:t xml:space="preserve">, </w:t>
            </w:r>
            <w:proofErr w:type="spellStart"/>
            <w:r w:rsidRPr="00F372DA">
              <w:rPr>
                <w:lang w:val="en-US"/>
              </w:rPr>
              <w:t>deşeuri</w:t>
            </w:r>
            <w:proofErr w:type="spellEnd"/>
            <w:r w:rsidRPr="00F372DA">
              <w:rPr>
                <w:lang w:val="en-US"/>
              </w:rPr>
              <w:t xml:space="preserve"> de fire </w:t>
            </w:r>
            <w:proofErr w:type="spellStart"/>
            <w:r w:rsidRPr="00F372DA">
              <w:rPr>
                <w:lang w:val="en-US"/>
              </w:rPr>
              <w:t>şi</w:t>
            </w:r>
            <w:proofErr w:type="spellEnd"/>
            <w:r w:rsidRPr="00F372DA">
              <w:rPr>
                <w:lang w:val="en-US"/>
              </w:rPr>
              <w:t xml:space="preserve"> </w:t>
            </w:r>
            <w:proofErr w:type="spellStart"/>
            <w:r w:rsidRPr="00F372DA">
              <w:rPr>
                <w:lang w:val="en-US"/>
              </w:rPr>
              <w:t>destrămătură</w:t>
            </w:r>
            <w:proofErr w:type="spellEnd"/>
            <w:r w:rsidRPr="00F372DA">
              <w:rPr>
                <w:lang w:val="en-US"/>
              </w:rPr>
              <w:t>)</w:t>
            </w:r>
          </w:p>
        </w:tc>
        <w:tc>
          <w:tcPr>
            <w:tcW w:w="2880" w:type="dxa"/>
          </w:tcPr>
          <w:p w:rsidR="00765BDA" w:rsidRPr="00F372DA" w:rsidRDefault="00765BDA" w:rsidP="00FB10F6">
            <w:pPr>
              <w:spacing w:before="120" w:after="120" w:line="260" w:lineRule="exact"/>
              <w:ind w:right="-57"/>
              <w:jc w:val="center"/>
            </w:pPr>
            <w:r w:rsidRPr="00F372DA">
              <w:t xml:space="preserve">5001 00 000 0 </w:t>
            </w:r>
            <w:r w:rsidRPr="00F372DA">
              <w:br/>
              <w:t xml:space="preserve">5002 00 000 0 </w:t>
            </w:r>
            <w:r w:rsidRPr="00F372DA">
              <w:br/>
              <w:t>5003 00 000 0</w:t>
            </w:r>
          </w:p>
        </w:tc>
        <w:tc>
          <w:tcPr>
            <w:tcW w:w="2160" w:type="dxa"/>
            <w:vMerge/>
          </w:tcPr>
          <w:p w:rsidR="00765BDA" w:rsidRPr="00F372DA" w:rsidRDefault="00765BDA" w:rsidP="00FB10F6">
            <w:pPr>
              <w:spacing w:before="120" w:after="120" w:line="260" w:lineRule="exact"/>
              <w:ind w:right="-57"/>
              <w:jc w:val="center"/>
            </w:pPr>
          </w:p>
        </w:tc>
      </w:tr>
      <w:tr w:rsidR="00765BDA" w:rsidRPr="00F372DA" w:rsidTr="00FB10F6">
        <w:trPr>
          <w:cantSplit/>
        </w:trPr>
        <w:tc>
          <w:tcPr>
            <w:tcW w:w="720" w:type="dxa"/>
          </w:tcPr>
          <w:p w:rsidR="00765BDA" w:rsidRPr="00F372DA" w:rsidRDefault="00765BDA" w:rsidP="00FB10F6">
            <w:pPr>
              <w:spacing w:before="120" w:after="120" w:line="260" w:lineRule="exact"/>
              <w:ind w:right="-57"/>
              <w:jc w:val="center"/>
            </w:pPr>
            <w:r w:rsidRPr="00F372DA">
              <w:t>10.</w:t>
            </w:r>
          </w:p>
        </w:tc>
        <w:tc>
          <w:tcPr>
            <w:tcW w:w="3952" w:type="dxa"/>
          </w:tcPr>
          <w:p w:rsidR="00765BDA" w:rsidRPr="00F372DA" w:rsidRDefault="00765BDA" w:rsidP="00FB10F6">
            <w:pPr>
              <w:spacing w:before="120" w:after="120" w:line="260" w:lineRule="exact"/>
              <w:ind w:left="102" w:right="-57"/>
              <w:rPr>
                <w:lang w:val="ro-RO"/>
              </w:rPr>
            </w:pPr>
            <w:r w:rsidRPr="00F372DA">
              <w:rPr>
                <w:lang w:val="ro-RO"/>
              </w:rPr>
              <w:t>Deşeuri şi resturi de metale preţioase</w:t>
            </w:r>
          </w:p>
        </w:tc>
        <w:tc>
          <w:tcPr>
            <w:tcW w:w="2880" w:type="dxa"/>
          </w:tcPr>
          <w:p w:rsidR="00765BDA" w:rsidRPr="00F372DA" w:rsidRDefault="00765BDA" w:rsidP="00FB10F6">
            <w:pPr>
              <w:spacing w:before="120" w:after="120" w:line="260" w:lineRule="exact"/>
              <w:ind w:right="670"/>
              <w:jc w:val="right"/>
            </w:pPr>
            <w:r w:rsidRPr="00F372DA">
              <w:t>7404 00, 7602 00, 7802 00 000 0, 7902 00 000 0, 8002 00 000 0, 8101 97 000 0, 8102 97 000 0, 8103 30 000 0, 8104 20 000 0, 8105 30 000 0, 8106 00 100 0, 8107 30 000 0, 8108 30 000 0, 8109 30 000 0, 8110 20 000 0, 8111 00 190 0, 8112 13</w:t>
            </w:r>
            <w:r w:rsidRPr="00F372DA">
              <w:rPr>
                <w:lang w:val="en-US"/>
              </w:rPr>
              <w:t> </w:t>
            </w:r>
            <w:r w:rsidRPr="00F372DA">
              <w:t>000</w:t>
            </w:r>
            <w:r w:rsidRPr="00F372DA">
              <w:rPr>
                <w:lang w:val="en-US"/>
              </w:rPr>
              <w:t> </w:t>
            </w:r>
            <w:r w:rsidRPr="00F372DA">
              <w:t>0, 8112</w:t>
            </w:r>
            <w:r w:rsidRPr="00F372DA">
              <w:rPr>
                <w:lang w:val="en-US"/>
              </w:rPr>
              <w:t> </w:t>
            </w:r>
            <w:r w:rsidRPr="00F372DA">
              <w:t>22</w:t>
            </w:r>
            <w:r w:rsidRPr="00F372DA">
              <w:rPr>
                <w:lang w:val="en-US"/>
              </w:rPr>
              <w:t> </w:t>
            </w:r>
            <w:r w:rsidRPr="00F372DA">
              <w:t>000</w:t>
            </w:r>
            <w:r w:rsidRPr="00F372DA">
              <w:rPr>
                <w:lang w:val="en-US"/>
              </w:rPr>
              <w:t> </w:t>
            </w:r>
            <w:r w:rsidRPr="00F372DA">
              <w:t xml:space="preserve">0, </w:t>
            </w:r>
            <w:r w:rsidRPr="00F372DA">
              <w:br/>
            </w:r>
            <w:r w:rsidRPr="00F372DA">
              <w:rPr>
                <w:bCs/>
              </w:rPr>
              <w:t>8112</w:t>
            </w:r>
            <w:r w:rsidRPr="00F372DA">
              <w:rPr>
                <w:bCs/>
                <w:lang w:val="en-US"/>
              </w:rPr>
              <w:t> </w:t>
            </w:r>
            <w:r w:rsidRPr="00F372DA">
              <w:rPr>
                <w:bCs/>
              </w:rPr>
              <w:t>92</w:t>
            </w:r>
            <w:r w:rsidRPr="00F372DA">
              <w:rPr>
                <w:bCs/>
                <w:lang w:val="en-US"/>
              </w:rPr>
              <w:t> </w:t>
            </w:r>
            <w:r w:rsidRPr="00F372DA">
              <w:rPr>
                <w:bCs/>
              </w:rPr>
              <w:t>210</w:t>
            </w:r>
            <w:r w:rsidRPr="00F372DA">
              <w:rPr>
                <w:lang w:val="en-US"/>
              </w:rPr>
              <w:t> </w:t>
            </w:r>
            <w:r w:rsidRPr="00F372DA">
              <w:t>0</w:t>
            </w:r>
          </w:p>
        </w:tc>
        <w:tc>
          <w:tcPr>
            <w:tcW w:w="2160" w:type="dxa"/>
            <w:vMerge/>
          </w:tcPr>
          <w:p w:rsidR="00765BDA" w:rsidRPr="00F372DA" w:rsidRDefault="00765BDA" w:rsidP="00FB10F6">
            <w:pPr>
              <w:spacing w:before="120" w:after="120" w:line="260" w:lineRule="exact"/>
              <w:ind w:right="-57"/>
              <w:jc w:val="center"/>
            </w:pPr>
          </w:p>
        </w:tc>
      </w:tr>
      <w:tr w:rsidR="00765BDA" w:rsidRPr="00F372DA" w:rsidTr="00FB10F6">
        <w:trPr>
          <w:cantSplit/>
        </w:trPr>
        <w:tc>
          <w:tcPr>
            <w:tcW w:w="720" w:type="dxa"/>
          </w:tcPr>
          <w:p w:rsidR="00765BDA" w:rsidRPr="00F372DA" w:rsidRDefault="00765BDA" w:rsidP="00FB10F6">
            <w:pPr>
              <w:spacing w:before="120" w:after="120" w:line="260" w:lineRule="exact"/>
              <w:ind w:right="-57"/>
              <w:jc w:val="center"/>
            </w:pPr>
            <w:r w:rsidRPr="00F372DA">
              <w:t>11.</w:t>
            </w:r>
          </w:p>
        </w:tc>
        <w:tc>
          <w:tcPr>
            <w:tcW w:w="3952" w:type="dxa"/>
          </w:tcPr>
          <w:p w:rsidR="00765BDA" w:rsidRPr="00F372DA" w:rsidRDefault="00765BDA" w:rsidP="00FB10F6">
            <w:pPr>
              <w:spacing w:before="120" w:after="120" w:line="260" w:lineRule="exact"/>
              <w:ind w:left="102" w:right="-57"/>
              <w:rPr>
                <w:lang w:val="en-US"/>
              </w:rPr>
            </w:pPr>
            <w:r w:rsidRPr="00F372DA">
              <w:rPr>
                <w:lang w:val="ro-RO"/>
              </w:rPr>
              <w:t>Obiecte de artă, antichități (picturi, sculpturi, etc), reprezentând o mare valoare artistică, istorică, științifică şi culturală</w:t>
            </w:r>
          </w:p>
        </w:tc>
        <w:tc>
          <w:tcPr>
            <w:tcW w:w="2880" w:type="dxa"/>
          </w:tcPr>
          <w:p w:rsidR="00765BDA" w:rsidRPr="00F372DA" w:rsidRDefault="00765BDA" w:rsidP="00FB10F6">
            <w:pPr>
              <w:spacing w:before="120" w:after="120" w:line="260" w:lineRule="exact"/>
              <w:ind w:right="-57"/>
              <w:jc w:val="center"/>
            </w:pPr>
            <w:r w:rsidRPr="00F372DA">
              <w:t>97</w:t>
            </w:r>
          </w:p>
        </w:tc>
        <w:tc>
          <w:tcPr>
            <w:tcW w:w="2160" w:type="dxa"/>
            <w:vMerge/>
            <w:tcBorders>
              <w:bottom w:val="single" w:sz="4" w:space="0" w:color="auto"/>
            </w:tcBorders>
          </w:tcPr>
          <w:p w:rsidR="00765BDA" w:rsidRPr="00F372DA" w:rsidRDefault="00765BDA" w:rsidP="00FB10F6">
            <w:pPr>
              <w:spacing w:before="120" w:after="120" w:line="260" w:lineRule="exact"/>
              <w:ind w:right="-57"/>
              <w:jc w:val="center"/>
            </w:pPr>
          </w:p>
        </w:tc>
      </w:tr>
    </w:tbl>
    <w:p w:rsidR="00765BDA" w:rsidRPr="00F372DA" w:rsidRDefault="00765BDA" w:rsidP="00765BDA">
      <w:pPr>
        <w:pStyle w:val="a4"/>
        <w:shd w:val="clear" w:color="auto" w:fill="auto"/>
        <w:spacing w:before="0" w:line="240" w:lineRule="auto"/>
        <w:rPr>
          <w:rFonts w:ascii="Times New Roman" w:hAnsi="Times New Roman" w:cs="Times New Roman"/>
          <w:sz w:val="24"/>
          <w:szCs w:val="24"/>
        </w:rPr>
      </w:pPr>
    </w:p>
    <w:p w:rsidR="00A544E6" w:rsidRPr="00F372DA" w:rsidRDefault="00A544E6"/>
    <w:sectPr w:rsidR="00A544E6" w:rsidRPr="00F372DA" w:rsidSect="00A75819">
      <w:headerReference w:type="default" r:id="rId4"/>
      <w:pgSz w:w="11906" w:h="16838" w:code="9"/>
      <w:pgMar w:top="1418" w:right="709" w:bottom="1134" w:left="1559" w:header="567" w:footer="39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E3B" w:rsidRDefault="00F372DA">
    <w:pPr>
      <w:pStyle w:val="a5"/>
      <w:jc w:val="center"/>
    </w:pPr>
    <w:r>
      <w:fldChar w:fldCharType="begin"/>
    </w:r>
    <w:r>
      <w:instrText>PAGE   \* MERGEFORMAT</w:instrText>
    </w:r>
    <w:r>
      <w:fldChar w:fldCharType="separate"/>
    </w:r>
    <w:r>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DA"/>
    <w:rsid w:val="00765BDA"/>
    <w:rsid w:val="00A544E6"/>
    <w:rsid w:val="00F37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75CC5-7E78-457C-82F6-F7213A7C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BDA"/>
    <w:pPr>
      <w:spacing w:after="0" w:line="240" w:lineRule="auto"/>
    </w:pPr>
    <w:rPr>
      <w:rFonts w:ascii="Times New Roman" w:eastAsia="MS Mincho"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uiPriority w:val="99"/>
    <w:locked/>
    <w:rsid w:val="00765BDA"/>
    <w:rPr>
      <w:rFonts w:ascii="Calibri" w:hAnsi="Calibri" w:cs="Calibri"/>
      <w:sz w:val="28"/>
      <w:szCs w:val="28"/>
      <w:shd w:val="clear" w:color="auto" w:fill="FFFFFF"/>
      <w:lang w:eastAsia="ja-JP"/>
    </w:rPr>
  </w:style>
  <w:style w:type="paragraph" w:styleId="a4">
    <w:name w:val="Body Text"/>
    <w:basedOn w:val="a"/>
    <w:link w:val="a3"/>
    <w:uiPriority w:val="99"/>
    <w:rsid w:val="00765BDA"/>
    <w:pPr>
      <w:shd w:val="clear" w:color="auto" w:fill="FFFFFF"/>
      <w:spacing w:before="840" w:line="240" w:lineRule="atLeast"/>
    </w:pPr>
    <w:rPr>
      <w:rFonts w:ascii="Calibri" w:eastAsiaTheme="minorHAnsi" w:hAnsi="Calibri" w:cs="Calibri"/>
      <w:sz w:val="28"/>
      <w:szCs w:val="28"/>
      <w:lang w:eastAsia="ja-JP"/>
    </w:rPr>
  </w:style>
  <w:style w:type="character" w:customStyle="1" w:styleId="1">
    <w:name w:val="Основной текст Знак1"/>
    <w:basedOn w:val="a0"/>
    <w:uiPriority w:val="99"/>
    <w:semiHidden/>
    <w:rsid w:val="00765BDA"/>
    <w:rPr>
      <w:rFonts w:ascii="Times New Roman" w:eastAsia="MS Mincho" w:hAnsi="Times New Roman" w:cs="Times New Roman"/>
      <w:sz w:val="24"/>
      <w:szCs w:val="24"/>
      <w:lang w:eastAsia="ru-RU"/>
    </w:rPr>
  </w:style>
  <w:style w:type="paragraph" w:styleId="a5">
    <w:name w:val="header"/>
    <w:basedOn w:val="a"/>
    <w:link w:val="a6"/>
    <w:uiPriority w:val="99"/>
    <w:rsid w:val="00765BDA"/>
    <w:pPr>
      <w:tabs>
        <w:tab w:val="center" w:pos="4677"/>
        <w:tab w:val="right" w:pos="9355"/>
      </w:tabs>
    </w:pPr>
    <w:rPr>
      <w:rFonts w:eastAsia="Times New Roman"/>
      <w:lang w:val="x-none" w:eastAsia="x-none"/>
    </w:rPr>
  </w:style>
  <w:style w:type="character" w:customStyle="1" w:styleId="a6">
    <w:name w:val="Верхний колонтитул Знак"/>
    <w:basedOn w:val="a0"/>
    <w:link w:val="a5"/>
    <w:uiPriority w:val="99"/>
    <w:rsid w:val="00765BDA"/>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Brinzeanu Rodica</dc:creator>
  <cp:keywords/>
  <dc:description/>
  <cp:lastModifiedBy>Brinzeanu Rodica</cp:lastModifiedBy>
  <cp:revision>2</cp:revision>
  <dcterms:created xsi:type="dcterms:W3CDTF">2015-08-17T07:59:00Z</dcterms:created>
  <dcterms:modified xsi:type="dcterms:W3CDTF">2015-08-17T08:00:00Z</dcterms:modified>
</cp:coreProperties>
</file>